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Suggestions for Lovers Walk Maintenance/Enhancements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139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9"/>
        <w:gridCol w:w="4649"/>
        <w:gridCol w:w="4650"/>
      </w:tblGrid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Essential/Immediate Maintenance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Infrastructure/Longer Term Work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£10K + Enhancements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2-way traffic needs to be clearly indicated. Cut back vegetation obscuring signs &amp; paint arrows on the road in the appropriate place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making street one way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‘green street’ – close Lovers Walk to cars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 the steps which connect with Forth Street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Steps – lighting, non-slip surface and build an island onto the road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sympathetic planting of native trees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the bollard on the path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two lanes onto roundabout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the viewing platform at the sewage outfall.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or cut back trees which obscure visibility on the path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Reposition cycle path on road and dropped kerb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benches at the viewing platform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Repaint the ‘SLOW’ sign on the path; currently ‘OW’ and in the wrong place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Erect ‘cyclists give way’ sign at bridges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planted areas: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Shady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Sunny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Fragranced </w:t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moss from area between bridges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dedicated cycle/pedestrian lanes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information boards at planters to inform and educate about planting choices and purposes </w:t>
            </w:r>
            <w:bookmarkStart w:id="0" w:name="_GoBack"/>
            <w:bookmarkEnd w:id="0"/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lighting under bridges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the speed limit for cars – 20/15 mph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 loose paving slabs at sewage outfall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exit from the ambulance depot at the Tesco traffic lights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fence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or paint the electricity substation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Reposition lifebuoy from current position on riverbank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 the fence with a uniform design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bridges and remove dead pigeons/pigeon droppings </w:t>
            </w:r>
          </w:p>
        </w:tc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35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LibreOffice/6.1.1.2$Windows_X86_64 LibreOffice_project/5d19a1bfa650b796764388cd8b33a5af1f5baa1b</Application>
  <Pages>1</Pages>
  <Words>229</Words>
  <Characters>1269</Characters>
  <CharactersWithSpaces>1495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2019-10-04T13:39:00Z</dcterms:created>
  <dc:creator>Susan Dumbleton</dc:creator>
  <dc:description/>
  <dc:language>en-GB</dc:language>
  <cp:lastModifiedBy>Susan Dumbleton</cp:lastModifiedBy>
  <dcterms:modified xsi:type="dcterms:W3CDTF">2019-10-04T13:58:00Z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